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B8FB3" w14:textId="2B011101" w:rsidR="009A25E2" w:rsidRDefault="009A25E2">
      <w:pPr>
        <w:spacing w:after="0" w:line="259" w:lineRule="auto"/>
        <w:ind w:left="365" w:firstLine="0"/>
        <w:jc w:val="center"/>
      </w:pPr>
      <w:r>
        <w:rPr>
          <w:b/>
          <w:sz w:val="40"/>
        </w:rPr>
        <w:t>NAURU TAX RATES</w:t>
      </w:r>
    </w:p>
    <w:p w14:paraId="08485E10" w14:textId="77777777" w:rsidR="00327826" w:rsidRDefault="00544B7F">
      <w:pPr>
        <w:spacing w:after="0" w:line="259" w:lineRule="auto"/>
        <w:ind w:left="364" w:firstLine="0"/>
        <w:jc w:val="center"/>
      </w:pPr>
      <w:r>
        <w:rPr>
          <w:b/>
          <w:sz w:val="40"/>
        </w:rPr>
        <w:t xml:space="preserve">As at 1 July 2019 </w:t>
      </w:r>
    </w:p>
    <w:p w14:paraId="5B4D425C" w14:textId="77777777" w:rsidR="00327826" w:rsidRDefault="00544B7F">
      <w:pPr>
        <w:spacing w:after="0" w:line="259" w:lineRule="auto"/>
        <w:ind w:left="461" w:firstLine="0"/>
        <w:jc w:val="center"/>
      </w:pPr>
      <w:r>
        <w:rPr>
          <w:b/>
          <w:sz w:val="40"/>
        </w:rPr>
        <w:t xml:space="preserve"> </w:t>
      </w:r>
    </w:p>
    <w:p w14:paraId="73708D90" w14:textId="77777777" w:rsidR="00015283" w:rsidRPr="00015283" w:rsidRDefault="00482CC9" w:rsidP="00482CC9">
      <w:pPr>
        <w:spacing w:after="0" w:line="259" w:lineRule="auto"/>
        <w:ind w:left="0" w:firstLine="0"/>
        <w:rPr>
          <w:b/>
          <w:bCs/>
          <w:sz w:val="28"/>
        </w:rPr>
      </w:pPr>
      <w:r w:rsidRPr="00015283">
        <w:rPr>
          <w:b/>
          <w:bCs/>
          <w:sz w:val="28"/>
        </w:rPr>
        <w:t>1.  Employment and Services Tax (EST)</w:t>
      </w:r>
    </w:p>
    <w:p w14:paraId="2158205C" w14:textId="4576A3A3" w:rsidR="00327826" w:rsidRDefault="00544B7F" w:rsidP="00482CC9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4CDE3E3E" w14:textId="77777777" w:rsidR="00327826" w:rsidRDefault="00544B7F">
      <w:pPr>
        <w:pStyle w:val="Heading1"/>
        <w:ind w:left="355"/>
      </w:pPr>
      <w:r>
        <w:t xml:space="preserve">(i) Employment Tax </w:t>
      </w:r>
    </w:p>
    <w:p w14:paraId="05069BAE" w14:textId="77777777" w:rsidR="00327826" w:rsidRDefault="00544B7F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14:paraId="698F1CCD" w14:textId="77777777" w:rsidR="00327826" w:rsidRDefault="00544B7F">
      <w:pPr>
        <w:pStyle w:val="Heading2"/>
        <w:ind w:left="355"/>
      </w:pPr>
      <w:r>
        <w:rPr>
          <w:sz w:val="24"/>
        </w:rPr>
        <w:t>Resident employees</w:t>
      </w:r>
      <w:r>
        <w:rPr>
          <w:sz w:val="24"/>
          <w:u w:val="none"/>
        </w:rPr>
        <w:t xml:space="preserve"> </w:t>
      </w:r>
    </w:p>
    <w:p w14:paraId="3250E653" w14:textId="77777777" w:rsidR="00327826" w:rsidRDefault="00544B7F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14:paraId="64A0CFAC" w14:textId="77777777" w:rsidR="00327826" w:rsidRDefault="00544B7F">
      <w:pPr>
        <w:tabs>
          <w:tab w:val="center" w:pos="489"/>
          <w:tab w:val="center" w:pos="4055"/>
        </w:tabs>
        <w:spacing w:after="216" w:line="266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(1) </w:t>
      </w:r>
      <w:r>
        <w:rPr>
          <w:sz w:val="22"/>
        </w:rPr>
        <w:tab/>
        <w:t xml:space="preserve">The rates of employment tax applicable to a resident individual are: </w:t>
      </w:r>
    </w:p>
    <w:p w14:paraId="084BEB4E" w14:textId="77777777" w:rsidR="00327826" w:rsidRDefault="00544B7F">
      <w:pPr>
        <w:numPr>
          <w:ilvl w:val="0"/>
          <w:numId w:val="1"/>
        </w:numPr>
        <w:spacing w:after="0" w:line="266" w:lineRule="auto"/>
        <w:ind w:hanging="720"/>
        <w:jc w:val="both"/>
      </w:pPr>
      <w:r>
        <w:rPr>
          <w:sz w:val="22"/>
        </w:rPr>
        <w:t xml:space="preserve">for a monthly pay period: </w:t>
      </w:r>
    </w:p>
    <w:tbl>
      <w:tblPr>
        <w:tblStyle w:val="TableGrid"/>
        <w:tblW w:w="8299" w:type="dxa"/>
        <w:tblInd w:w="972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65"/>
        <w:gridCol w:w="4134"/>
      </w:tblGrid>
      <w:tr w:rsidR="00327826" w14:paraId="6D8E751B" w14:textId="77777777">
        <w:trPr>
          <w:trHeight w:val="264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BF70" w14:textId="77777777" w:rsidR="00327826" w:rsidRDefault="00544B7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Monthly Employment Income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1D0D" w14:textId="77777777" w:rsidR="00327826" w:rsidRDefault="00544B7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Rate </w:t>
            </w:r>
          </w:p>
        </w:tc>
      </w:tr>
      <w:tr w:rsidR="00327826" w14:paraId="045C0F7D" w14:textId="77777777">
        <w:trPr>
          <w:trHeight w:val="768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708B" w14:textId="77777777" w:rsidR="00327826" w:rsidRDefault="00544B7F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6FFD2EFA" w14:textId="77777777" w:rsidR="00327826" w:rsidRDefault="00544B7F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$0 – $8,400 </w:t>
            </w:r>
          </w:p>
          <w:p w14:paraId="5F002CA5" w14:textId="77777777" w:rsidR="00327826" w:rsidRDefault="00544B7F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B1A6" w14:textId="77777777" w:rsidR="00327826" w:rsidRDefault="00544B7F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1C5502E0" w14:textId="77777777" w:rsidR="00327826" w:rsidRDefault="00544B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0% </w:t>
            </w:r>
          </w:p>
        </w:tc>
      </w:tr>
      <w:tr w:rsidR="00327826" w14:paraId="33238DB2" w14:textId="77777777">
        <w:trPr>
          <w:trHeight w:val="77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E628" w14:textId="77777777" w:rsidR="00327826" w:rsidRDefault="00544B7F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34EC6BC4" w14:textId="77777777" w:rsidR="00327826" w:rsidRDefault="00544B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Above $8,400 </w:t>
            </w:r>
          </w:p>
          <w:p w14:paraId="6CEF12DF" w14:textId="77777777" w:rsidR="00327826" w:rsidRDefault="00544B7F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D898" w14:textId="77777777" w:rsidR="00327826" w:rsidRDefault="00544B7F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50890221" w14:textId="77777777" w:rsidR="00327826" w:rsidRDefault="00544B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20% </w:t>
            </w:r>
          </w:p>
        </w:tc>
      </w:tr>
    </w:tbl>
    <w:p w14:paraId="75FFBA1B" w14:textId="77777777" w:rsidR="00327826" w:rsidRDefault="00544B7F">
      <w:pPr>
        <w:numPr>
          <w:ilvl w:val="0"/>
          <w:numId w:val="1"/>
        </w:numPr>
        <w:spacing w:after="0" w:line="266" w:lineRule="auto"/>
        <w:ind w:hanging="720"/>
        <w:jc w:val="both"/>
      </w:pPr>
      <w:r>
        <w:rPr>
          <w:sz w:val="22"/>
        </w:rPr>
        <w:t xml:space="preserve">for a fortnightly pay period:  </w:t>
      </w:r>
    </w:p>
    <w:tbl>
      <w:tblPr>
        <w:tblStyle w:val="TableGrid"/>
        <w:tblW w:w="8299" w:type="dxa"/>
        <w:tblInd w:w="972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65"/>
        <w:gridCol w:w="4134"/>
      </w:tblGrid>
      <w:tr w:rsidR="00327826" w14:paraId="67AAF256" w14:textId="77777777">
        <w:trPr>
          <w:trHeight w:val="262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92D8" w14:textId="77777777" w:rsidR="00327826" w:rsidRDefault="00544B7F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Fortnightly Employment Income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5E2F" w14:textId="77777777" w:rsidR="00327826" w:rsidRDefault="00544B7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Rate </w:t>
            </w:r>
          </w:p>
        </w:tc>
      </w:tr>
      <w:tr w:rsidR="00327826" w14:paraId="35610670" w14:textId="77777777">
        <w:trPr>
          <w:trHeight w:val="771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AF1A" w14:textId="77777777" w:rsidR="00327826" w:rsidRDefault="00544B7F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6E8D3476" w14:textId="77777777" w:rsidR="00327826" w:rsidRDefault="00544B7F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$0 – $3,870 </w:t>
            </w:r>
          </w:p>
          <w:p w14:paraId="3A227FAA" w14:textId="77777777" w:rsidR="00327826" w:rsidRDefault="00544B7F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6CB5" w14:textId="77777777" w:rsidR="00327826" w:rsidRDefault="00544B7F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04BF2E54" w14:textId="77777777" w:rsidR="00327826" w:rsidRDefault="00544B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0% </w:t>
            </w:r>
          </w:p>
        </w:tc>
      </w:tr>
      <w:tr w:rsidR="00327826" w14:paraId="7238F555" w14:textId="77777777">
        <w:trPr>
          <w:trHeight w:val="768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B9D2" w14:textId="77777777" w:rsidR="00327826" w:rsidRDefault="00544B7F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5C25A3E6" w14:textId="77777777" w:rsidR="00327826" w:rsidRDefault="00544B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Above $3,870 </w:t>
            </w:r>
          </w:p>
          <w:p w14:paraId="2B0D9D00" w14:textId="77777777" w:rsidR="00327826" w:rsidRDefault="00544B7F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D8CC" w14:textId="77777777" w:rsidR="00327826" w:rsidRDefault="00544B7F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5325F51B" w14:textId="77777777" w:rsidR="00327826" w:rsidRDefault="00544B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20% </w:t>
            </w:r>
          </w:p>
        </w:tc>
      </w:tr>
    </w:tbl>
    <w:p w14:paraId="0E28A6A2" w14:textId="77777777" w:rsidR="00327826" w:rsidRDefault="00544B7F">
      <w:pPr>
        <w:numPr>
          <w:ilvl w:val="0"/>
          <w:numId w:val="1"/>
        </w:numPr>
        <w:spacing w:after="0" w:line="266" w:lineRule="auto"/>
        <w:ind w:hanging="720"/>
        <w:jc w:val="both"/>
      </w:pPr>
      <w:r>
        <w:rPr>
          <w:sz w:val="22"/>
        </w:rPr>
        <w:t xml:space="preserve">for a weekly pay period: </w:t>
      </w:r>
    </w:p>
    <w:tbl>
      <w:tblPr>
        <w:tblStyle w:val="TableGrid"/>
        <w:tblW w:w="8299" w:type="dxa"/>
        <w:tblInd w:w="972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65"/>
        <w:gridCol w:w="4134"/>
      </w:tblGrid>
      <w:tr w:rsidR="00327826" w14:paraId="6D071E53" w14:textId="77777777">
        <w:trPr>
          <w:trHeight w:val="262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45EE" w14:textId="77777777" w:rsidR="00327826" w:rsidRDefault="00544B7F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Weekly Employment Income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9453" w14:textId="77777777" w:rsidR="00327826" w:rsidRDefault="00544B7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Rate </w:t>
            </w:r>
          </w:p>
        </w:tc>
      </w:tr>
      <w:tr w:rsidR="00327826" w14:paraId="588A81FF" w14:textId="77777777">
        <w:trPr>
          <w:trHeight w:val="77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3ED4" w14:textId="77777777" w:rsidR="00327826" w:rsidRDefault="00544B7F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742E1B69" w14:textId="77777777" w:rsidR="00327826" w:rsidRDefault="00544B7F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$0 – $1,935 </w:t>
            </w:r>
          </w:p>
          <w:p w14:paraId="27DE8787" w14:textId="77777777" w:rsidR="00327826" w:rsidRDefault="00544B7F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0D9A" w14:textId="77777777" w:rsidR="00327826" w:rsidRDefault="00544B7F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2CD09255" w14:textId="77777777" w:rsidR="00327826" w:rsidRDefault="00544B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0% </w:t>
            </w:r>
          </w:p>
        </w:tc>
      </w:tr>
      <w:tr w:rsidR="00327826" w14:paraId="744E7AE2" w14:textId="77777777">
        <w:trPr>
          <w:trHeight w:val="768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F98A" w14:textId="77777777" w:rsidR="00327826" w:rsidRDefault="00544B7F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17D6FE2C" w14:textId="77777777" w:rsidR="00327826" w:rsidRDefault="00544B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Above $1,935 </w:t>
            </w:r>
          </w:p>
          <w:p w14:paraId="2DE1AC10" w14:textId="77777777" w:rsidR="00327826" w:rsidRDefault="00544B7F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9FA1" w14:textId="77777777" w:rsidR="00327826" w:rsidRDefault="00544B7F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2502B7B6" w14:textId="77777777" w:rsidR="00327826" w:rsidRDefault="00544B7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20% </w:t>
            </w:r>
          </w:p>
        </w:tc>
      </w:tr>
    </w:tbl>
    <w:p w14:paraId="01CD3208" w14:textId="77777777" w:rsidR="00327826" w:rsidRDefault="00544B7F">
      <w:pPr>
        <w:spacing w:after="216" w:line="259" w:lineRule="auto"/>
        <w:ind w:left="360" w:firstLine="0"/>
      </w:pPr>
      <w:r>
        <w:rPr>
          <w:sz w:val="22"/>
        </w:rPr>
        <w:t xml:space="preserve"> </w:t>
      </w:r>
    </w:p>
    <w:p w14:paraId="38050F2F" w14:textId="77777777" w:rsidR="00327826" w:rsidRDefault="00544B7F">
      <w:pPr>
        <w:numPr>
          <w:ilvl w:val="0"/>
          <w:numId w:val="1"/>
        </w:numPr>
        <w:spacing w:after="224" w:line="266" w:lineRule="auto"/>
        <w:ind w:hanging="720"/>
        <w:jc w:val="both"/>
      </w:pPr>
      <w:r>
        <w:rPr>
          <w:sz w:val="22"/>
        </w:rPr>
        <w:t xml:space="preserve">for an employee with a pay period other than monthly, fortnightly or weekly, the rate or rates advised by the Secretary to the employer of the employee under section 17(3). </w:t>
      </w:r>
    </w:p>
    <w:p w14:paraId="27B1A33D" w14:textId="54935185" w:rsidR="00327826" w:rsidRDefault="00544B7F">
      <w:pPr>
        <w:spacing w:after="0" w:line="259" w:lineRule="auto"/>
        <w:ind w:left="360" w:firstLine="0"/>
      </w:pPr>
      <w:r>
        <w:t xml:space="preserve">  </w:t>
      </w:r>
    </w:p>
    <w:p w14:paraId="64D0177A" w14:textId="77777777" w:rsidR="00327826" w:rsidRDefault="00544B7F">
      <w:pPr>
        <w:pStyle w:val="Heading2"/>
        <w:ind w:left="355"/>
      </w:pPr>
      <w:r>
        <w:rPr>
          <w:sz w:val="24"/>
        </w:rPr>
        <w:t>Non-resident employees</w:t>
      </w:r>
      <w:r>
        <w:rPr>
          <w:sz w:val="24"/>
          <w:u w:val="none"/>
        </w:rPr>
        <w:t xml:space="preserve"> </w:t>
      </w:r>
    </w:p>
    <w:p w14:paraId="1E2185A1" w14:textId="77777777" w:rsidR="00327826" w:rsidRDefault="00544B7F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14:paraId="071030F5" w14:textId="77777777" w:rsidR="00327826" w:rsidRDefault="00544B7F">
      <w:r>
        <w:t xml:space="preserve">Non – resident employees pay employment tax on a monthly basis on their respective Gross Salaries/Wages/Allowances at the following rates. Employment tax is withheld at the time of payment by employers, and remitted to the NRO on a monthly basis - </w:t>
      </w:r>
    </w:p>
    <w:p w14:paraId="1332D4B7" w14:textId="77777777" w:rsidR="00327826" w:rsidRDefault="00544B7F">
      <w:pPr>
        <w:spacing w:after="0" w:line="259" w:lineRule="auto"/>
        <w:ind w:left="360" w:firstLine="0"/>
      </w:pPr>
      <w:r>
        <w:lastRenderedPageBreak/>
        <w:t xml:space="preserve"> </w:t>
      </w:r>
    </w:p>
    <w:p w14:paraId="20171C51" w14:textId="77777777" w:rsidR="00327826" w:rsidRDefault="00544B7F">
      <w:pPr>
        <w:numPr>
          <w:ilvl w:val="0"/>
          <w:numId w:val="2"/>
        </w:numPr>
        <w:ind w:hanging="360"/>
      </w:pPr>
      <w:r>
        <w:t xml:space="preserve">10% tax rate up to 30 June 2018; </w:t>
      </w:r>
    </w:p>
    <w:p w14:paraId="31A60CDE" w14:textId="77777777" w:rsidR="00327826" w:rsidRDefault="00544B7F">
      <w:pPr>
        <w:numPr>
          <w:ilvl w:val="0"/>
          <w:numId w:val="2"/>
        </w:numPr>
        <w:ind w:hanging="360"/>
      </w:pPr>
      <w:r>
        <w:t xml:space="preserve">20% tax rate effective from 1 July 2018 </w:t>
      </w:r>
      <w:r>
        <w:rPr>
          <w:b/>
        </w:rPr>
        <w:t>with</w:t>
      </w:r>
      <w:r>
        <w:t xml:space="preserve"> </w:t>
      </w:r>
      <w:r>
        <w:rPr>
          <w:b/>
        </w:rPr>
        <w:t>only</w:t>
      </w:r>
      <w:r>
        <w:t xml:space="preserve"> GoN expatriate employees entitled to an annualised $20,000 tax free threshold; </w:t>
      </w:r>
    </w:p>
    <w:p w14:paraId="4A487864" w14:textId="77777777" w:rsidR="00327826" w:rsidRDefault="00544B7F">
      <w:pPr>
        <w:numPr>
          <w:ilvl w:val="0"/>
          <w:numId w:val="2"/>
        </w:numPr>
        <w:ind w:hanging="360"/>
      </w:pPr>
      <w:r>
        <w:t xml:space="preserve">30% tax rate effective from 1 July 2019 for Regional Processing Centre (RPC) individual employees </w:t>
      </w:r>
      <w:r>
        <w:rPr>
          <w:b/>
        </w:rPr>
        <w:t>only</w:t>
      </w:r>
      <w:r>
        <w:t>;</w:t>
      </w:r>
      <w:r>
        <w:rPr>
          <w:b/>
        </w:rPr>
        <w:t xml:space="preserve"> </w:t>
      </w:r>
    </w:p>
    <w:p w14:paraId="593F62B4" w14:textId="1C1785EB" w:rsidR="00327826" w:rsidRDefault="00544B7F">
      <w:pPr>
        <w:numPr>
          <w:ilvl w:val="0"/>
          <w:numId w:val="2"/>
        </w:numPr>
        <w:ind w:hanging="360"/>
      </w:pPr>
      <w:r>
        <w:t>GoN expatriate employees are taxed at 20% from 1 July 2019 and retain a $20,000 annualised tax free threshold;</w:t>
      </w:r>
      <w:r>
        <w:rPr>
          <w:b/>
        </w:rPr>
        <w:t xml:space="preserve"> </w:t>
      </w:r>
    </w:p>
    <w:p w14:paraId="6FBA6D14" w14:textId="3607D237" w:rsidR="00327826" w:rsidRDefault="00544B7F">
      <w:pPr>
        <w:numPr>
          <w:ilvl w:val="0"/>
          <w:numId w:val="2"/>
        </w:numPr>
        <w:ind w:hanging="360"/>
      </w:pPr>
      <w:r>
        <w:t>All other non-resident employees are taxed at 20% from dollar one (1).</w:t>
      </w:r>
      <w:r>
        <w:rPr>
          <w:b/>
        </w:rPr>
        <w:t xml:space="preserve"> </w:t>
      </w:r>
    </w:p>
    <w:p w14:paraId="5DF7825D" w14:textId="77777777" w:rsidR="00327826" w:rsidRDefault="00544B7F">
      <w:pPr>
        <w:spacing w:after="19" w:line="259" w:lineRule="auto"/>
        <w:ind w:left="1080" w:firstLine="0"/>
      </w:pPr>
      <w:r>
        <w:t xml:space="preserve"> </w:t>
      </w:r>
    </w:p>
    <w:p w14:paraId="7B510B6A" w14:textId="77777777" w:rsidR="00327826" w:rsidRDefault="00544B7F">
      <w:pPr>
        <w:pStyle w:val="Heading1"/>
        <w:ind w:left="355"/>
      </w:pPr>
      <w:r>
        <w:t xml:space="preserve">(ii) Services Tax </w:t>
      </w:r>
    </w:p>
    <w:p w14:paraId="6F2FD558" w14:textId="77777777" w:rsidR="00327826" w:rsidRDefault="00544B7F">
      <w:pPr>
        <w:spacing w:after="0" w:line="259" w:lineRule="auto"/>
        <w:ind w:left="360" w:firstLine="0"/>
      </w:pPr>
      <w:r>
        <w:rPr>
          <w:b/>
          <w:sz w:val="28"/>
        </w:rPr>
        <w:t xml:space="preserve"> </w:t>
      </w:r>
    </w:p>
    <w:p w14:paraId="19188A48" w14:textId="77777777" w:rsidR="00327826" w:rsidRDefault="00544B7F">
      <w:pPr>
        <w:pStyle w:val="Heading2"/>
        <w:ind w:left="355"/>
      </w:pPr>
      <w:r>
        <w:t>Applies only to non-resident persons</w:t>
      </w:r>
      <w:r>
        <w:rPr>
          <w:u w:val="none"/>
        </w:rPr>
        <w:t xml:space="preserve">  </w:t>
      </w:r>
    </w:p>
    <w:p w14:paraId="5D7DA2A1" w14:textId="77777777" w:rsidR="00327826" w:rsidRDefault="00544B7F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14:paraId="37D4D65A" w14:textId="77777777" w:rsidR="00327826" w:rsidRDefault="00544B7F">
      <w:r>
        <w:rPr>
          <w:b/>
        </w:rPr>
        <w:t>Non-resident service providers</w:t>
      </w:r>
      <w:r>
        <w:t xml:space="preserve"> such as contractors (individuals, companies, partnerships/trusts and/or other persons) pay services tax on a monthly basis at the following rates payable on their gross service fee/s. Services tax is withheld at the time of payment by the payer, and remitted to the NRO on a monthly basis - – </w:t>
      </w:r>
    </w:p>
    <w:p w14:paraId="7B3008B1" w14:textId="77777777" w:rsidR="00327826" w:rsidRDefault="00544B7F">
      <w:pPr>
        <w:spacing w:after="0" w:line="259" w:lineRule="auto"/>
        <w:ind w:left="360" w:firstLine="0"/>
      </w:pPr>
      <w:r>
        <w:t xml:space="preserve"> </w:t>
      </w:r>
    </w:p>
    <w:p w14:paraId="7CCA71DF" w14:textId="77777777" w:rsidR="00327826" w:rsidRDefault="00544B7F">
      <w:pPr>
        <w:numPr>
          <w:ilvl w:val="0"/>
          <w:numId w:val="3"/>
        </w:numPr>
        <w:ind w:hanging="360"/>
      </w:pPr>
      <w:r>
        <w:t xml:space="preserve">10% tax rate  up to 30 June 2018; </w:t>
      </w:r>
    </w:p>
    <w:p w14:paraId="7D7F76B6" w14:textId="77777777" w:rsidR="00327826" w:rsidRDefault="00544B7F">
      <w:pPr>
        <w:numPr>
          <w:ilvl w:val="0"/>
          <w:numId w:val="3"/>
        </w:numPr>
        <w:ind w:hanging="360"/>
      </w:pPr>
      <w:r>
        <w:t xml:space="preserve">20% tax rate from 1 July 2018  </w:t>
      </w:r>
      <w:r>
        <w:rPr>
          <w:b/>
        </w:rPr>
        <w:t>with</w:t>
      </w:r>
      <w:r>
        <w:t xml:space="preserve"> </w:t>
      </w:r>
      <w:r>
        <w:rPr>
          <w:b/>
        </w:rPr>
        <w:t xml:space="preserve">only </w:t>
      </w:r>
      <w:r>
        <w:t xml:space="preserve">GoN service providers entitled to an annualised tax free threshold of $20,000; </w:t>
      </w:r>
    </w:p>
    <w:p w14:paraId="1DFA2A51" w14:textId="77777777" w:rsidR="00327826" w:rsidRDefault="00544B7F">
      <w:pPr>
        <w:numPr>
          <w:ilvl w:val="0"/>
          <w:numId w:val="3"/>
        </w:numPr>
        <w:ind w:hanging="360"/>
      </w:pPr>
      <w:r>
        <w:t xml:space="preserve">30% tax rate effective from 1 July 2019 for all non-resident persons providing services to or in connection with the </w:t>
      </w:r>
      <w:r>
        <w:rPr>
          <w:b/>
        </w:rPr>
        <w:t>RPC</w:t>
      </w:r>
      <w:r>
        <w:t xml:space="preserve">. </w:t>
      </w:r>
    </w:p>
    <w:p w14:paraId="21362531" w14:textId="65F04A4D" w:rsidR="00327826" w:rsidRDefault="00544B7F">
      <w:pPr>
        <w:numPr>
          <w:ilvl w:val="0"/>
          <w:numId w:val="3"/>
        </w:numPr>
        <w:spacing w:after="25" w:line="237" w:lineRule="auto"/>
        <w:ind w:hanging="360"/>
      </w:pPr>
      <w:r>
        <w:t xml:space="preserve">Non-resident </w:t>
      </w:r>
      <w:r>
        <w:rPr>
          <w:b/>
        </w:rPr>
        <w:t>individuals</w:t>
      </w:r>
      <w:r>
        <w:t xml:space="preserve"> providing services to GoN are </w:t>
      </w:r>
      <w:r w:rsidR="00662C50">
        <w:t>t</w:t>
      </w:r>
      <w:r>
        <w:t xml:space="preserve">axed at 20% from1 July 2019 but retain the $20,000 annualised tax free threshold on their services income; </w:t>
      </w:r>
    </w:p>
    <w:p w14:paraId="353D9262" w14:textId="2068C50E" w:rsidR="00327826" w:rsidRDefault="00544B7F">
      <w:pPr>
        <w:numPr>
          <w:ilvl w:val="0"/>
          <w:numId w:val="3"/>
        </w:numPr>
        <w:ind w:hanging="360"/>
      </w:pPr>
      <w:r>
        <w:t xml:space="preserve">All other non-resident persons providing independent services are </w:t>
      </w:r>
      <w:r w:rsidR="00662C50">
        <w:t>t</w:t>
      </w:r>
      <w:r>
        <w:t xml:space="preserve">axed at a rate of 20% from dollar one (1). </w:t>
      </w:r>
    </w:p>
    <w:p w14:paraId="5867E646" w14:textId="77777777" w:rsidR="00B929A4" w:rsidRDefault="00B929A4" w:rsidP="00A01936">
      <w:pPr>
        <w:spacing w:after="0" w:line="259" w:lineRule="auto"/>
        <w:ind w:left="0" w:firstLine="0"/>
      </w:pPr>
    </w:p>
    <w:p w14:paraId="0F02A74D" w14:textId="77777777" w:rsidR="00B929A4" w:rsidRDefault="00B929A4" w:rsidP="00A01936">
      <w:pPr>
        <w:spacing w:after="0" w:line="259" w:lineRule="auto"/>
        <w:ind w:left="0" w:firstLine="0"/>
        <w:rPr>
          <w:b/>
          <w:bCs/>
          <w:sz w:val="28"/>
          <w:szCs w:val="28"/>
        </w:rPr>
      </w:pPr>
      <w:r w:rsidRPr="00B929A4">
        <w:rPr>
          <w:b/>
          <w:bCs/>
          <w:sz w:val="28"/>
          <w:szCs w:val="28"/>
        </w:rPr>
        <w:t>2.  Business Taxes effective 1 July 2016</w:t>
      </w:r>
    </w:p>
    <w:p w14:paraId="3BA54049" w14:textId="149764CC" w:rsidR="00327826" w:rsidRPr="00B929A4" w:rsidRDefault="00544B7F" w:rsidP="00A01936">
      <w:pPr>
        <w:spacing w:after="0" w:line="259" w:lineRule="auto"/>
        <w:ind w:left="0" w:firstLine="0"/>
        <w:rPr>
          <w:b/>
          <w:bCs/>
          <w:sz w:val="28"/>
          <w:szCs w:val="28"/>
        </w:rPr>
      </w:pPr>
      <w:r w:rsidRPr="00B929A4">
        <w:rPr>
          <w:b/>
          <w:bCs/>
          <w:sz w:val="28"/>
          <w:szCs w:val="28"/>
        </w:rPr>
        <w:t xml:space="preserve"> </w:t>
      </w:r>
    </w:p>
    <w:p w14:paraId="4DA0087C" w14:textId="77777777" w:rsidR="00327826" w:rsidRDefault="00544B7F">
      <w:pPr>
        <w:spacing w:after="0" w:line="259" w:lineRule="auto"/>
        <w:ind w:left="360" w:firstLine="0"/>
      </w:pPr>
      <w:r>
        <w:rPr>
          <w:u w:val="single" w:color="000000"/>
        </w:rPr>
        <w:t>Three (3) separate taxes are imposed under the Business Tax Act.</w:t>
      </w:r>
      <w:r>
        <w:t xml:space="preserve"> </w:t>
      </w:r>
    </w:p>
    <w:p w14:paraId="0F726055" w14:textId="77777777" w:rsidR="00327826" w:rsidRDefault="00544B7F">
      <w:pPr>
        <w:spacing w:after="43" w:line="259" w:lineRule="auto"/>
        <w:ind w:left="360" w:firstLine="0"/>
      </w:pPr>
      <w:r>
        <w:t xml:space="preserve"> </w:t>
      </w:r>
    </w:p>
    <w:p w14:paraId="31E643D8" w14:textId="77777777" w:rsidR="00327826" w:rsidRDefault="00544B7F">
      <w:pPr>
        <w:numPr>
          <w:ilvl w:val="0"/>
          <w:numId w:val="4"/>
        </w:numPr>
        <w:ind w:hanging="427"/>
      </w:pPr>
      <w:r>
        <w:rPr>
          <w:b/>
          <w:sz w:val="28"/>
        </w:rPr>
        <w:t>Small Business Tax</w:t>
      </w:r>
      <w:r>
        <w:t xml:space="preserve"> </w:t>
      </w:r>
      <w:r>
        <w:rPr>
          <w:b/>
          <w:sz w:val="28"/>
        </w:rPr>
        <w:t>(SBT)</w:t>
      </w:r>
      <w:r>
        <w:t xml:space="preserve"> only applies to </w:t>
      </w:r>
      <w:r>
        <w:rPr>
          <w:b/>
        </w:rPr>
        <w:t>Non-Resident Individuals</w:t>
      </w:r>
      <w:r>
        <w:t xml:space="preserve"> with a gross revenue up to $250,000 per annum where the business is conducted </w:t>
      </w:r>
      <w:r>
        <w:rPr>
          <w:b/>
        </w:rPr>
        <w:t>solely</w:t>
      </w:r>
      <w:r>
        <w:t xml:space="preserve"> in Nauru.  The rate of SBT is payable quarterly as follows –</w:t>
      </w:r>
      <w:r>
        <w:rPr>
          <w:b/>
        </w:rPr>
        <w:t xml:space="preserve"> </w:t>
      </w:r>
    </w:p>
    <w:p w14:paraId="69C57A53" w14:textId="77777777" w:rsidR="00327826" w:rsidRDefault="00544B7F">
      <w:pPr>
        <w:spacing w:after="0" w:line="259" w:lineRule="auto"/>
        <w:ind w:left="787" w:firstLine="0"/>
      </w:pPr>
      <w:r>
        <w:rPr>
          <w:b/>
        </w:rPr>
        <w:t xml:space="preserve"> </w:t>
      </w:r>
    </w:p>
    <w:p w14:paraId="57F2BF95" w14:textId="77777777" w:rsidR="00327826" w:rsidRDefault="00544B7F">
      <w:pPr>
        <w:numPr>
          <w:ilvl w:val="1"/>
          <w:numId w:val="4"/>
        </w:numPr>
        <w:ind w:hanging="281"/>
      </w:pPr>
      <w:r>
        <w:t xml:space="preserve">1.5% on total gross revenue </w:t>
      </w:r>
      <w:r>
        <w:rPr>
          <w:u w:val="single" w:color="000000"/>
        </w:rPr>
        <w:t>up to 30 June 2017</w:t>
      </w:r>
      <w:r>
        <w:t xml:space="preserve">; </w:t>
      </w:r>
    </w:p>
    <w:p w14:paraId="16AC9385" w14:textId="77777777" w:rsidR="00327826" w:rsidRDefault="00544B7F">
      <w:pPr>
        <w:numPr>
          <w:ilvl w:val="1"/>
          <w:numId w:val="4"/>
        </w:numPr>
        <w:ind w:hanging="281"/>
      </w:pPr>
      <w:r>
        <w:t xml:space="preserve">2.5% on total gross revenue effective </w:t>
      </w:r>
      <w:r>
        <w:rPr>
          <w:u w:val="single" w:color="000000"/>
        </w:rPr>
        <w:t>from 1 July 2017</w:t>
      </w:r>
      <w:r>
        <w:t xml:space="preserve">. </w:t>
      </w:r>
    </w:p>
    <w:p w14:paraId="75A4075E" w14:textId="77777777" w:rsidR="00327826" w:rsidRDefault="00544B7F">
      <w:pPr>
        <w:spacing w:after="0" w:line="259" w:lineRule="auto"/>
        <w:ind w:left="1068" w:firstLine="0"/>
      </w:pPr>
      <w:r>
        <w:t xml:space="preserve"> </w:t>
      </w:r>
    </w:p>
    <w:p w14:paraId="30BB87E0" w14:textId="77777777" w:rsidR="00327826" w:rsidRDefault="00544B7F">
      <w:pPr>
        <w:numPr>
          <w:ilvl w:val="0"/>
          <w:numId w:val="4"/>
        </w:numPr>
        <w:ind w:hanging="427"/>
      </w:pPr>
      <w:r>
        <w:rPr>
          <w:b/>
          <w:sz w:val="28"/>
        </w:rPr>
        <w:t>Business Profits Tax (BPT)</w:t>
      </w:r>
      <w:r>
        <w:rPr>
          <w:b/>
        </w:rPr>
        <w:t xml:space="preserve"> </w:t>
      </w:r>
      <w:r>
        <w:t xml:space="preserve">is imposed at various rates on a person conducting business that has taxable income for the year. Note the gross income threshold for Business Profits Tax is an annual turnover/sales &gt; $250,000. </w:t>
      </w:r>
    </w:p>
    <w:p w14:paraId="2558776A" w14:textId="77777777" w:rsidR="00327826" w:rsidRDefault="00544B7F">
      <w:pPr>
        <w:spacing w:line="259" w:lineRule="auto"/>
        <w:ind w:left="787" w:firstLine="0"/>
      </w:pPr>
      <w:r>
        <w:rPr>
          <w:b/>
        </w:rPr>
        <w:t xml:space="preserve"> </w:t>
      </w:r>
    </w:p>
    <w:p w14:paraId="4DE9EB95" w14:textId="1F3BC1D4" w:rsidR="00327826" w:rsidRDefault="00544B7F">
      <w:pPr>
        <w:pStyle w:val="Heading1"/>
        <w:ind w:left="797"/>
      </w:pPr>
      <w:r>
        <w:lastRenderedPageBreak/>
        <w:t xml:space="preserve">BPT tax </w:t>
      </w:r>
      <w:r w:rsidR="001313A8">
        <w:t>r</w:t>
      </w:r>
      <w:r>
        <w:t xml:space="preserve">ates applicable to resident persons </w:t>
      </w:r>
      <w:r>
        <w:rPr>
          <w:b w:val="0"/>
        </w:rPr>
        <w:t xml:space="preserve"> </w:t>
      </w:r>
    </w:p>
    <w:p w14:paraId="21FF974F" w14:textId="77777777" w:rsidR="00327826" w:rsidRDefault="00544B7F">
      <w:pPr>
        <w:spacing w:after="20" w:line="259" w:lineRule="auto"/>
        <w:ind w:left="360" w:firstLine="0"/>
      </w:pPr>
      <w:r>
        <w:rPr>
          <w:b/>
        </w:rPr>
        <w:t xml:space="preserve"> </w:t>
      </w:r>
    </w:p>
    <w:p w14:paraId="655C85EB" w14:textId="77777777" w:rsidR="00327826" w:rsidRDefault="00544B7F">
      <w:pPr>
        <w:pStyle w:val="Heading2"/>
        <w:ind w:left="355"/>
      </w:pPr>
      <w:r>
        <w:rPr>
          <w:b w:val="0"/>
          <w:sz w:val="24"/>
          <w:u w:val="none"/>
        </w:rPr>
        <w:t xml:space="preserve">        </w:t>
      </w:r>
      <w:r>
        <w:t>Resident Individuals</w:t>
      </w:r>
      <w:r>
        <w:rPr>
          <w:u w:val="none"/>
        </w:rPr>
        <w:t xml:space="preserve"> </w:t>
      </w:r>
    </w:p>
    <w:p w14:paraId="298A6881" w14:textId="77777777" w:rsidR="00327826" w:rsidRDefault="00544B7F">
      <w:pPr>
        <w:spacing w:after="0" w:line="259" w:lineRule="auto"/>
        <w:ind w:left="360" w:firstLine="0"/>
      </w:pPr>
      <w:r>
        <w:rPr>
          <w:b/>
          <w:sz w:val="28"/>
        </w:rPr>
        <w:t xml:space="preserve"> </w:t>
      </w:r>
    </w:p>
    <w:p w14:paraId="3DD7F86D" w14:textId="77777777" w:rsidR="00327826" w:rsidRDefault="00544B7F">
      <w:pPr>
        <w:ind w:left="797"/>
      </w:pPr>
      <w:r>
        <w:t>The tax rates for resident individuals after applying</w:t>
      </w:r>
      <w:r>
        <w:rPr>
          <w:b/>
        </w:rPr>
        <w:t xml:space="preserve"> </w:t>
      </w:r>
      <w:r>
        <w:t xml:space="preserve">a tax free threshold on the first </w:t>
      </w:r>
    </w:p>
    <w:p w14:paraId="21624617" w14:textId="77777777" w:rsidR="00327826" w:rsidRDefault="00544B7F">
      <w:pPr>
        <w:ind w:left="797"/>
      </w:pPr>
      <w:r>
        <w:t xml:space="preserve">$250,000 of taxable income are as follows:– </w:t>
      </w:r>
    </w:p>
    <w:p w14:paraId="5227A7B0" w14:textId="77777777" w:rsidR="00327826" w:rsidRDefault="00544B7F">
      <w:pPr>
        <w:spacing w:after="0" w:line="259" w:lineRule="auto"/>
        <w:ind w:left="787" w:firstLine="0"/>
      </w:pPr>
      <w:r>
        <w:t xml:space="preserve"> </w:t>
      </w:r>
    </w:p>
    <w:p w14:paraId="5658E1C7" w14:textId="77777777" w:rsidR="00327826" w:rsidRDefault="00544B7F">
      <w:pPr>
        <w:numPr>
          <w:ilvl w:val="0"/>
          <w:numId w:val="5"/>
        </w:numPr>
        <w:ind w:hanging="360"/>
      </w:pPr>
      <w:r>
        <w:t xml:space="preserve">10% up to 30 June 2018; </w:t>
      </w:r>
    </w:p>
    <w:p w14:paraId="2ADA7D24" w14:textId="77777777" w:rsidR="00327826" w:rsidRDefault="00544B7F">
      <w:pPr>
        <w:numPr>
          <w:ilvl w:val="0"/>
          <w:numId w:val="5"/>
        </w:numPr>
        <w:ind w:hanging="360"/>
      </w:pPr>
      <w:r>
        <w:t xml:space="preserve">20% effective from 1 July 2018. </w:t>
      </w:r>
    </w:p>
    <w:p w14:paraId="1AFF8C7F" w14:textId="77777777" w:rsidR="00327826" w:rsidRDefault="00544B7F">
      <w:pPr>
        <w:spacing w:after="19" w:line="259" w:lineRule="auto"/>
        <w:ind w:left="360" w:firstLine="0"/>
      </w:pPr>
      <w:r>
        <w:t xml:space="preserve"> </w:t>
      </w:r>
    </w:p>
    <w:p w14:paraId="58BDA360" w14:textId="77777777" w:rsidR="00327826" w:rsidRDefault="00544B7F">
      <w:pPr>
        <w:pStyle w:val="Heading2"/>
        <w:ind w:left="797"/>
      </w:pPr>
      <w:r>
        <w:t>Other Resident Persons</w:t>
      </w:r>
      <w:r>
        <w:rPr>
          <w:u w:val="none"/>
        </w:rPr>
        <w:t xml:space="preserve"> </w:t>
      </w:r>
    </w:p>
    <w:p w14:paraId="7E317F66" w14:textId="77777777" w:rsidR="00327826" w:rsidRDefault="00544B7F">
      <w:pPr>
        <w:spacing w:after="0" w:line="259" w:lineRule="auto"/>
        <w:ind w:left="787" w:firstLine="0"/>
      </w:pPr>
      <w:r>
        <w:rPr>
          <w:b/>
          <w:sz w:val="28"/>
        </w:rPr>
        <w:t xml:space="preserve"> </w:t>
      </w:r>
    </w:p>
    <w:p w14:paraId="4BF170FA" w14:textId="77777777" w:rsidR="00327826" w:rsidRDefault="00544B7F">
      <w:pPr>
        <w:ind w:left="797"/>
      </w:pPr>
      <w:r>
        <w:t xml:space="preserve">The tax rates for all other resident persons including Companies, Partnerships, Trusts and all other persons are as follows: – </w:t>
      </w:r>
    </w:p>
    <w:p w14:paraId="088809A8" w14:textId="77777777" w:rsidR="00327826" w:rsidRDefault="00544B7F">
      <w:pPr>
        <w:spacing w:after="0" w:line="259" w:lineRule="auto"/>
        <w:ind w:left="360" w:firstLine="0"/>
      </w:pPr>
      <w:r>
        <w:t xml:space="preserve"> </w:t>
      </w:r>
    </w:p>
    <w:p w14:paraId="65E7158C" w14:textId="77777777" w:rsidR="00327826" w:rsidRDefault="00544B7F">
      <w:pPr>
        <w:numPr>
          <w:ilvl w:val="0"/>
          <w:numId w:val="6"/>
        </w:numPr>
        <w:ind w:hanging="281"/>
      </w:pPr>
      <w:r>
        <w:t xml:space="preserve">From 1 July 2016 to 30 June 2017 – the tax rate was 10% for </w:t>
      </w:r>
      <w:r>
        <w:rPr>
          <w:b/>
        </w:rPr>
        <w:t xml:space="preserve">all other resident persons. </w:t>
      </w:r>
    </w:p>
    <w:p w14:paraId="6D327971" w14:textId="77777777" w:rsidR="00327826" w:rsidRDefault="00544B7F">
      <w:pPr>
        <w:spacing w:after="0" w:line="259" w:lineRule="auto"/>
        <w:ind w:left="1080" w:firstLine="0"/>
      </w:pPr>
      <w:r>
        <w:t xml:space="preserve"> </w:t>
      </w:r>
    </w:p>
    <w:p w14:paraId="4469DF3C" w14:textId="77777777" w:rsidR="00327826" w:rsidRDefault="00544B7F">
      <w:pPr>
        <w:numPr>
          <w:ilvl w:val="0"/>
          <w:numId w:val="6"/>
        </w:numPr>
        <w:ind w:hanging="281"/>
      </w:pPr>
      <w:r>
        <w:t xml:space="preserve">From 1 July 2017 to 30 June 2018 , the tax rates were as follows :-  </w:t>
      </w:r>
    </w:p>
    <w:p w14:paraId="2CA5CBF4" w14:textId="77777777" w:rsidR="00327826" w:rsidRDefault="00544B7F">
      <w:pPr>
        <w:spacing w:after="0" w:line="259" w:lineRule="auto"/>
        <w:ind w:left="1493" w:firstLine="0"/>
      </w:pPr>
      <w:r>
        <w:t xml:space="preserve"> </w:t>
      </w:r>
    </w:p>
    <w:p w14:paraId="6F8E0A3B" w14:textId="77777777" w:rsidR="00327826" w:rsidRDefault="00544B7F">
      <w:pPr>
        <w:numPr>
          <w:ilvl w:val="1"/>
          <w:numId w:val="6"/>
        </w:numPr>
        <w:ind w:hanging="360"/>
      </w:pPr>
      <w:r>
        <w:rPr>
          <w:b/>
        </w:rPr>
        <w:t xml:space="preserve">Resident Companies </w:t>
      </w:r>
      <w:r>
        <w:t xml:space="preserve">where the annual gross income is up to (&lt;) $15M            – a 10% tax rate; </w:t>
      </w:r>
    </w:p>
    <w:p w14:paraId="372B7B49" w14:textId="77777777" w:rsidR="00327826" w:rsidRDefault="00544B7F">
      <w:pPr>
        <w:numPr>
          <w:ilvl w:val="1"/>
          <w:numId w:val="6"/>
        </w:numPr>
        <w:ind w:hanging="360"/>
      </w:pPr>
      <w:r>
        <w:rPr>
          <w:b/>
        </w:rPr>
        <w:t xml:space="preserve">Resident Companies </w:t>
      </w:r>
      <w:r>
        <w:t xml:space="preserve">where the annual gross income is greater than (&gt;) $15M – a 20% tax rate; </w:t>
      </w:r>
    </w:p>
    <w:p w14:paraId="1A25711E" w14:textId="77777777" w:rsidR="00327826" w:rsidRDefault="00544B7F">
      <w:pPr>
        <w:numPr>
          <w:ilvl w:val="1"/>
          <w:numId w:val="6"/>
        </w:numPr>
        <w:ind w:hanging="360"/>
      </w:pPr>
      <w:r>
        <w:rPr>
          <w:b/>
        </w:rPr>
        <w:t>Resident Partnerships</w:t>
      </w:r>
      <w:r>
        <w:t xml:space="preserve"> – a 10 % tax rate reduced by $250,000 in respect of each resident individual member; </w:t>
      </w:r>
    </w:p>
    <w:p w14:paraId="642EA8E2" w14:textId="77777777" w:rsidR="004128FA" w:rsidRDefault="00544B7F">
      <w:pPr>
        <w:numPr>
          <w:ilvl w:val="1"/>
          <w:numId w:val="6"/>
        </w:numPr>
        <w:ind w:hanging="360"/>
      </w:pPr>
      <w:r>
        <w:rPr>
          <w:b/>
        </w:rPr>
        <w:t xml:space="preserve">Resident Trusts </w:t>
      </w:r>
      <w:r>
        <w:t>– a 10% tax rate reduced by $250,000 in respect of each resident individual beneficiary;</w:t>
      </w:r>
    </w:p>
    <w:p w14:paraId="29715E52" w14:textId="71ED09AC" w:rsidR="00327826" w:rsidRDefault="004128FA">
      <w:pPr>
        <w:numPr>
          <w:ilvl w:val="1"/>
          <w:numId w:val="6"/>
        </w:numPr>
        <w:ind w:hanging="360"/>
      </w:pPr>
      <w:r w:rsidRPr="00316388">
        <w:rPr>
          <w:b/>
          <w:bCs/>
        </w:rPr>
        <w:t>Any other resident person</w:t>
      </w:r>
      <w:r>
        <w:t xml:space="preserve"> – a 10% tax rate applied.</w:t>
      </w:r>
    </w:p>
    <w:p w14:paraId="2D23DC5E" w14:textId="77777777" w:rsidR="00327826" w:rsidRDefault="00544B7F">
      <w:pPr>
        <w:spacing w:after="0" w:line="259" w:lineRule="auto"/>
        <w:ind w:left="1800" w:firstLine="0"/>
      </w:pPr>
      <w:r>
        <w:t xml:space="preserve"> </w:t>
      </w:r>
    </w:p>
    <w:p w14:paraId="53C9DF35" w14:textId="77777777" w:rsidR="00327826" w:rsidRDefault="00544B7F">
      <w:pPr>
        <w:numPr>
          <w:ilvl w:val="0"/>
          <w:numId w:val="6"/>
        </w:numPr>
        <w:ind w:hanging="281"/>
      </w:pPr>
      <w:r>
        <w:t xml:space="preserve">From 1 July 2018 , the tax rates are as follows :- </w:t>
      </w:r>
    </w:p>
    <w:p w14:paraId="0284E506" w14:textId="77777777" w:rsidR="00327826" w:rsidRDefault="00544B7F">
      <w:pPr>
        <w:spacing w:after="19" w:line="259" w:lineRule="auto"/>
        <w:ind w:left="1080" w:firstLine="0"/>
      </w:pPr>
      <w:r>
        <w:t xml:space="preserve"> </w:t>
      </w:r>
    </w:p>
    <w:p w14:paraId="3F52D8D1" w14:textId="77777777" w:rsidR="00327826" w:rsidRDefault="00544B7F">
      <w:pPr>
        <w:numPr>
          <w:ilvl w:val="1"/>
          <w:numId w:val="6"/>
        </w:numPr>
        <w:ind w:hanging="360"/>
      </w:pPr>
      <w:r>
        <w:rPr>
          <w:b/>
        </w:rPr>
        <w:t xml:space="preserve">Resident Companies </w:t>
      </w:r>
      <w:r>
        <w:t xml:space="preserve">where the annual gross income is up to  (&lt;) $15M –  a 20% tax rate; </w:t>
      </w:r>
    </w:p>
    <w:p w14:paraId="6854A843" w14:textId="77777777" w:rsidR="00327826" w:rsidRDefault="00544B7F">
      <w:pPr>
        <w:numPr>
          <w:ilvl w:val="1"/>
          <w:numId w:val="6"/>
        </w:numPr>
        <w:ind w:hanging="360"/>
      </w:pPr>
      <w:r>
        <w:rPr>
          <w:b/>
        </w:rPr>
        <w:t xml:space="preserve">Resident Companies </w:t>
      </w:r>
      <w:r>
        <w:t xml:space="preserve">where the annual gross income is greater than (&gt;)$15M – a 25% tax rate; </w:t>
      </w:r>
    </w:p>
    <w:p w14:paraId="12C7F71F" w14:textId="77777777" w:rsidR="00327826" w:rsidRDefault="00544B7F">
      <w:pPr>
        <w:numPr>
          <w:ilvl w:val="1"/>
          <w:numId w:val="6"/>
        </w:numPr>
        <w:ind w:hanging="360"/>
      </w:pPr>
      <w:r>
        <w:rPr>
          <w:b/>
        </w:rPr>
        <w:t xml:space="preserve">Resident Companies </w:t>
      </w:r>
      <w:r>
        <w:t xml:space="preserve">controlled by a non-resident person or associate – a 25% tax rate; </w:t>
      </w:r>
    </w:p>
    <w:p w14:paraId="1C601F81" w14:textId="77777777" w:rsidR="00327826" w:rsidRDefault="00544B7F">
      <w:pPr>
        <w:numPr>
          <w:ilvl w:val="1"/>
          <w:numId w:val="6"/>
        </w:numPr>
        <w:ind w:hanging="360"/>
      </w:pPr>
      <w:r>
        <w:rPr>
          <w:b/>
        </w:rPr>
        <w:t>Resident Partnerships</w:t>
      </w:r>
      <w:r>
        <w:t xml:space="preserve"> – a 20 % tax rate reduced by $250,000 in respect of each resident individual member; </w:t>
      </w:r>
    </w:p>
    <w:p w14:paraId="2EA55707" w14:textId="77777777" w:rsidR="00327826" w:rsidRDefault="00544B7F">
      <w:pPr>
        <w:numPr>
          <w:ilvl w:val="1"/>
          <w:numId w:val="6"/>
        </w:numPr>
        <w:ind w:hanging="360"/>
      </w:pPr>
      <w:r>
        <w:rPr>
          <w:b/>
        </w:rPr>
        <w:t xml:space="preserve">Resident Trusts </w:t>
      </w:r>
      <w:r>
        <w:t xml:space="preserve">– a 20% tax rate reduced by $250,000 in respect of each resident individual beneficiary; </w:t>
      </w:r>
    </w:p>
    <w:p w14:paraId="4AB7AC6F" w14:textId="77777777" w:rsidR="00022B04" w:rsidRDefault="00544B7F">
      <w:pPr>
        <w:numPr>
          <w:ilvl w:val="1"/>
          <w:numId w:val="6"/>
        </w:numPr>
        <w:ind w:hanging="360"/>
      </w:pPr>
      <w:r>
        <w:rPr>
          <w:b/>
        </w:rPr>
        <w:t>Any other</w:t>
      </w:r>
      <w:r>
        <w:t xml:space="preserve"> resident person – a 20% tax rate applies.</w:t>
      </w:r>
    </w:p>
    <w:p w14:paraId="1808861B" w14:textId="7CA7C183" w:rsidR="00327826" w:rsidRDefault="00544B7F" w:rsidP="00022B04">
      <w:pPr>
        <w:ind w:left="1785" w:firstLine="0"/>
      </w:pPr>
      <w:r>
        <w:t xml:space="preserve"> </w:t>
      </w:r>
    </w:p>
    <w:p w14:paraId="1A0D7621" w14:textId="77777777" w:rsidR="00327826" w:rsidRDefault="00544B7F">
      <w:pPr>
        <w:spacing w:after="0" w:line="259" w:lineRule="auto"/>
        <w:ind w:left="1800" w:firstLine="0"/>
      </w:pPr>
      <w:r>
        <w:t xml:space="preserve"> </w:t>
      </w:r>
    </w:p>
    <w:p w14:paraId="00062BFE" w14:textId="77777777" w:rsidR="00327826" w:rsidRDefault="00544B7F">
      <w:pPr>
        <w:pStyle w:val="Heading2"/>
        <w:ind w:left="797"/>
      </w:pPr>
      <w:r>
        <w:lastRenderedPageBreak/>
        <w:t>Non – Resident Persons</w:t>
      </w:r>
      <w:r>
        <w:rPr>
          <w:u w:val="none"/>
        </w:rPr>
        <w:t xml:space="preserve"> </w:t>
      </w:r>
    </w:p>
    <w:p w14:paraId="07D2544B" w14:textId="77777777" w:rsidR="00327826" w:rsidRDefault="00544B7F">
      <w:pPr>
        <w:spacing w:after="0" w:line="259" w:lineRule="auto"/>
        <w:ind w:left="1068" w:firstLine="0"/>
      </w:pPr>
      <w:r>
        <w:t xml:space="preserve"> </w:t>
      </w:r>
    </w:p>
    <w:p w14:paraId="2AF86A62" w14:textId="77777777" w:rsidR="00327826" w:rsidRDefault="00544B7F">
      <w:pPr>
        <w:numPr>
          <w:ilvl w:val="0"/>
          <w:numId w:val="7"/>
        </w:numPr>
        <w:spacing w:after="5" w:line="250" w:lineRule="auto"/>
        <w:ind w:left="723" w:hanging="286"/>
      </w:pPr>
      <w:r>
        <w:t xml:space="preserve">From 1 July 2016 to 30 June 2017 – the tax rate was 10% for </w:t>
      </w:r>
      <w:r>
        <w:rPr>
          <w:b/>
        </w:rPr>
        <w:t>all non-resident persons including individuals, companies, partnerships, trusts.</w:t>
      </w:r>
      <w:r>
        <w:t xml:space="preserve"> </w:t>
      </w:r>
    </w:p>
    <w:p w14:paraId="17160E62" w14:textId="77777777" w:rsidR="00327826" w:rsidRDefault="00544B7F">
      <w:pPr>
        <w:spacing w:after="0" w:line="259" w:lineRule="auto"/>
        <w:ind w:left="720" w:firstLine="0"/>
      </w:pPr>
      <w:r>
        <w:t xml:space="preserve"> </w:t>
      </w:r>
    </w:p>
    <w:p w14:paraId="443292A1" w14:textId="77777777" w:rsidR="00327826" w:rsidRDefault="00544B7F">
      <w:pPr>
        <w:numPr>
          <w:ilvl w:val="0"/>
          <w:numId w:val="7"/>
        </w:numPr>
        <w:ind w:left="723" w:hanging="286"/>
      </w:pPr>
      <w:r>
        <w:t xml:space="preserve">From 1 July 2017 to 30 June 2018 , the tax rates were as follows :-  </w:t>
      </w:r>
    </w:p>
    <w:p w14:paraId="632FF9D6" w14:textId="77777777" w:rsidR="00327826" w:rsidRDefault="00544B7F">
      <w:pPr>
        <w:spacing w:after="0" w:line="259" w:lineRule="auto"/>
        <w:ind w:left="360" w:firstLine="0"/>
      </w:pPr>
      <w:r>
        <w:t xml:space="preserve"> </w:t>
      </w:r>
    </w:p>
    <w:p w14:paraId="42906E4B" w14:textId="77777777" w:rsidR="00327826" w:rsidRDefault="00544B7F">
      <w:pPr>
        <w:numPr>
          <w:ilvl w:val="1"/>
          <w:numId w:val="7"/>
        </w:numPr>
        <w:ind w:hanging="360"/>
      </w:pPr>
      <w:r>
        <w:rPr>
          <w:b/>
        </w:rPr>
        <w:t xml:space="preserve">Non-resident Companies </w:t>
      </w:r>
      <w:r>
        <w:t xml:space="preserve">where the annual gross income is up to (&lt;) $15M –  a 10% tax rate; </w:t>
      </w:r>
    </w:p>
    <w:p w14:paraId="39E40E23" w14:textId="77777777" w:rsidR="00327826" w:rsidRDefault="00544B7F">
      <w:pPr>
        <w:numPr>
          <w:ilvl w:val="1"/>
          <w:numId w:val="7"/>
        </w:numPr>
        <w:ind w:hanging="360"/>
      </w:pPr>
      <w:r>
        <w:rPr>
          <w:b/>
        </w:rPr>
        <w:t xml:space="preserve">Non-resident Companies </w:t>
      </w:r>
      <w:r>
        <w:t xml:space="preserve">where the annual gross income is greater than (&gt;) $15M – a 20% tax rate; </w:t>
      </w:r>
    </w:p>
    <w:p w14:paraId="7CFF14DA" w14:textId="77777777" w:rsidR="00327826" w:rsidRDefault="00544B7F">
      <w:pPr>
        <w:numPr>
          <w:ilvl w:val="1"/>
          <w:numId w:val="7"/>
        </w:numPr>
        <w:spacing w:after="5" w:line="250" w:lineRule="auto"/>
        <w:ind w:hanging="360"/>
      </w:pPr>
      <w:r>
        <w:rPr>
          <w:b/>
        </w:rPr>
        <w:t>Non-resident Partnerships</w:t>
      </w:r>
      <w:r>
        <w:t xml:space="preserve"> – a 10 % tax rate; </w:t>
      </w:r>
    </w:p>
    <w:p w14:paraId="60CFDB9D" w14:textId="77777777" w:rsidR="00327826" w:rsidRDefault="00544B7F">
      <w:pPr>
        <w:numPr>
          <w:ilvl w:val="1"/>
          <w:numId w:val="7"/>
        </w:numPr>
        <w:spacing w:after="5" w:line="250" w:lineRule="auto"/>
        <w:ind w:hanging="360"/>
      </w:pPr>
      <w:r>
        <w:rPr>
          <w:b/>
        </w:rPr>
        <w:t xml:space="preserve">Non-resident Trusts </w:t>
      </w:r>
      <w:r>
        <w:t xml:space="preserve">– a 10% tax rate; </w:t>
      </w:r>
    </w:p>
    <w:p w14:paraId="21290FF2" w14:textId="77777777" w:rsidR="00327826" w:rsidRDefault="00544B7F">
      <w:pPr>
        <w:numPr>
          <w:ilvl w:val="1"/>
          <w:numId w:val="7"/>
        </w:numPr>
        <w:ind w:hanging="360"/>
      </w:pPr>
      <w:r>
        <w:rPr>
          <w:b/>
        </w:rPr>
        <w:t>Any other</w:t>
      </w:r>
      <w:r>
        <w:t xml:space="preserve"> non-resident</w:t>
      </w:r>
      <w:r>
        <w:rPr>
          <w:b/>
        </w:rPr>
        <w:t xml:space="preserve"> </w:t>
      </w:r>
      <w:r>
        <w:t xml:space="preserve">persons – a 10% tax rate applied. </w:t>
      </w:r>
    </w:p>
    <w:p w14:paraId="3F557EB2" w14:textId="77777777" w:rsidR="00327826" w:rsidRDefault="00544B7F">
      <w:pPr>
        <w:spacing w:after="0" w:line="259" w:lineRule="auto"/>
        <w:ind w:left="720" w:firstLine="0"/>
      </w:pPr>
      <w:r>
        <w:t xml:space="preserve"> </w:t>
      </w:r>
    </w:p>
    <w:p w14:paraId="4DEA4CF4" w14:textId="77777777" w:rsidR="00327826" w:rsidRDefault="00544B7F">
      <w:pPr>
        <w:numPr>
          <w:ilvl w:val="0"/>
          <w:numId w:val="7"/>
        </w:numPr>
        <w:ind w:left="723" w:hanging="286"/>
      </w:pPr>
      <w:r>
        <w:t xml:space="preserve">From 1 July 2018 , the tax rates are as follows :- </w:t>
      </w:r>
    </w:p>
    <w:p w14:paraId="309701C3" w14:textId="77777777" w:rsidR="00327826" w:rsidRDefault="00544B7F">
      <w:pPr>
        <w:spacing w:after="18" w:line="259" w:lineRule="auto"/>
        <w:ind w:left="1080" w:firstLine="0"/>
      </w:pPr>
      <w:r>
        <w:t xml:space="preserve"> </w:t>
      </w:r>
    </w:p>
    <w:p w14:paraId="2C2B5681" w14:textId="77777777" w:rsidR="00327826" w:rsidRDefault="00544B7F">
      <w:pPr>
        <w:numPr>
          <w:ilvl w:val="1"/>
          <w:numId w:val="7"/>
        </w:numPr>
        <w:ind w:hanging="360"/>
      </w:pPr>
      <w:r>
        <w:rPr>
          <w:b/>
        </w:rPr>
        <w:t xml:space="preserve">Non-resident Companies </w:t>
      </w:r>
      <w:r>
        <w:t xml:space="preserve">conducting business in Nauru through a Permanent Establishment – 25% tax rate; </w:t>
      </w:r>
    </w:p>
    <w:p w14:paraId="15A26357" w14:textId="77777777" w:rsidR="00327826" w:rsidRDefault="00544B7F">
      <w:pPr>
        <w:numPr>
          <w:ilvl w:val="1"/>
          <w:numId w:val="7"/>
        </w:numPr>
        <w:spacing w:after="5" w:line="250" w:lineRule="auto"/>
        <w:ind w:hanging="360"/>
      </w:pPr>
      <w:r>
        <w:rPr>
          <w:b/>
        </w:rPr>
        <w:t>Non-resident Partnerships</w:t>
      </w:r>
      <w:r>
        <w:t xml:space="preserve"> – 20% tax rate; </w:t>
      </w:r>
    </w:p>
    <w:p w14:paraId="11C9B73B" w14:textId="77777777" w:rsidR="00327826" w:rsidRDefault="00544B7F">
      <w:pPr>
        <w:numPr>
          <w:ilvl w:val="1"/>
          <w:numId w:val="7"/>
        </w:numPr>
        <w:spacing w:after="5" w:line="250" w:lineRule="auto"/>
        <w:ind w:hanging="360"/>
      </w:pPr>
      <w:r>
        <w:rPr>
          <w:b/>
        </w:rPr>
        <w:t xml:space="preserve">Non-resident Trusts </w:t>
      </w:r>
      <w:r>
        <w:t xml:space="preserve">- 20% tax rate; </w:t>
      </w:r>
    </w:p>
    <w:p w14:paraId="028715E0" w14:textId="77777777" w:rsidR="00327826" w:rsidRDefault="00544B7F">
      <w:pPr>
        <w:numPr>
          <w:ilvl w:val="1"/>
          <w:numId w:val="7"/>
        </w:numPr>
        <w:ind w:hanging="360"/>
      </w:pPr>
      <w:r>
        <w:rPr>
          <w:b/>
        </w:rPr>
        <w:t>Any other</w:t>
      </w:r>
      <w:r>
        <w:t xml:space="preserve"> non-resident person - 20% tax rate applied. </w:t>
      </w:r>
    </w:p>
    <w:p w14:paraId="135ED1C6" w14:textId="77777777" w:rsidR="00327826" w:rsidRDefault="00544B7F">
      <w:pPr>
        <w:spacing w:after="67" w:line="259" w:lineRule="auto"/>
        <w:ind w:left="360" w:firstLine="0"/>
      </w:pPr>
      <w:r>
        <w:t xml:space="preserve"> </w:t>
      </w:r>
    </w:p>
    <w:p w14:paraId="37A25088" w14:textId="77777777" w:rsidR="00327826" w:rsidRDefault="00544B7F">
      <w:pPr>
        <w:spacing w:after="0" w:line="259" w:lineRule="auto"/>
        <w:ind w:left="360" w:firstLine="0"/>
      </w:pPr>
      <w:r>
        <w:t xml:space="preserve">(iii) </w:t>
      </w:r>
      <w:r>
        <w:rPr>
          <w:b/>
          <w:sz w:val="32"/>
        </w:rPr>
        <w:t>Non Resident Tax</w:t>
      </w:r>
      <w:r>
        <w:t xml:space="preserve"> </w:t>
      </w:r>
      <w:r>
        <w:rPr>
          <w:b/>
          <w:sz w:val="32"/>
        </w:rPr>
        <w:t>(NRT)</w:t>
      </w:r>
      <w:r>
        <w:t xml:space="preserve"> </w:t>
      </w:r>
    </w:p>
    <w:p w14:paraId="68F83357" w14:textId="77777777" w:rsidR="00327826" w:rsidRDefault="00544B7F">
      <w:pPr>
        <w:spacing w:after="0" w:line="259" w:lineRule="auto"/>
        <w:ind w:left="2160" w:firstLine="0"/>
      </w:pPr>
      <w:r>
        <w:t xml:space="preserve"> </w:t>
      </w:r>
    </w:p>
    <w:p w14:paraId="14D68AD1" w14:textId="77777777" w:rsidR="00327826" w:rsidRDefault="00544B7F">
      <w:r>
        <w:t xml:space="preserve"> This tax is imposed on a </w:t>
      </w:r>
      <w:r>
        <w:rPr>
          <w:b/>
        </w:rPr>
        <w:t>non-resident</w:t>
      </w:r>
      <w:r>
        <w:t xml:space="preserve"> who has derived interest, a royalty, or insurance premium from sources in Nauru.  </w:t>
      </w:r>
    </w:p>
    <w:p w14:paraId="05983139" w14:textId="77777777" w:rsidR="00327826" w:rsidRDefault="00544B7F">
      <w:pPr>
        <w:spacing w:after="0" w:line="259" w:lineRule="auto"/>
        <w:ind w:left="360" w:firstLine="0"/>
      </w:pPr>
      <w:r>
        <w:t xml:space="preserve"> </w:t>
      </w:r>
    </w:p>
    <w:p w14:paraId="3AA4FB26" w14:textId="77777777" w:rsidR="00327826" w:rsidRDefault="00544B7F">
      <w:r>
        <w:t>The rate of NRT is payable quarterly with the following rates of tax applicable :–</w:t>
      </w:r>
      <w:r>
        <w:rPr>
          <w:b/>
        </w:rPr>
        <w:t xml:space="preserve"> </w:t>
      </w:r>
    </w:p>
    <w:p w14:paraId="6643B76B" w14:textId="77777777" w:rsidR="00327826" w:rsidRDefault="00544B7F">
      <w:pPr>
        <w:spacing w:after="0" w:line="259" w:lineRule="auto"/>
        <w:ind w:left="787" w:firstLine="0"/>
      </w:pPr>
      <w:r>
        <w:rPr>
          <w:b/>
        </w:rPr>
        <w:t xml:space="preserve"> </w:t>
      </w:r>
    </w:p>
    <w:p w14:paraId="4EE0832C" w14:textId="77777777" w:rsidR="00327826" w:rsidRDefault="00544B7F">
      <w:pPr>
        <w:numPr>
          <w:ilvl w:val="0"/>
          <w:numId w:val="8"/>
        </w:numPr>
        <w:ind w:hanging="281"/>
      </w:pPr>
      <w:r>
        <w:t xml:space="preserve">10% up to 30 June 2018; </w:t>
      </w:r>
    </w:p>
    <w:p w14:paraId="16152021" w14:textId="77777777" w:rsidR="00327826" w:rsidRDefault="00544B7F">
      <w:pPr>
        <w:numPr>
          <w:ilvl w:val="0"/>
          <w:numId w:val="8"/>
        </w:numPr>
        <w:ind w:hanging="281"/>
      </w:pPr>
      <w:r>
        <w:t xml:space="preserve">20% effective from 1 July 2018. </w:t>
      </w:r>
    </w:p>
    <w:p w14:paraId="5FD3E589" w14:textId="78F85C82" w:rsidR="00327826" w:rsidRDefault="00544B7F" w:rsidP="00E9229B">
      <w:pPr>
        <w:spacing w:after="0" w:line="259" w:lineRule="auto"/>
        <w:ind w:left="360" w:firstLine="0"/>
      </w:pPr>
      <w:r>
        <w:t xml:space="preserve">            </w:t>
      </w:r>
    </w:p>
    <w:p w14:paraId="62E6DA01" w14:textId="27A09853" w:rsidR="006B1E44" w:rsidRPr="006B1E44" w:rsidRDefault="006B1E44" w:rsidP="006B1E44">
      <w:pPr>
        <w:rPr>
          <w:b/>
          <w:bCs/>
          <w:sz w:val="28"/>
          <w:szCs w:val="28"/>
        </w:rPr>
      </w:pPr>
      <w:r w:rsidRPr="006B1E44">
        <w:rPr>
          <w:b/>
          <w:bCs/>
          <w:sz w:val="28"/>
          <w:szCs w:val="28"/>
        </w:rPr>
        <w:t>3. Telecommunications Service Tax</w:t>
      </w:r>
    </w:p>
    <w:p w14:paraId="77530BB7" w14:textId="77777777" w:rsidR="00327826" w:rsidRDefault="00544B7F">
      <w:pPr>
        <w:spacing w:after="0" w:line="259" w:lineRule="auto"/>
        <w:ind w:left="360" w:firstLine="0"/>
      </w:pPr>
      <w:r>
        <w:t xml:space="preserve"> </w:t>
      </w:r>
    </w:p>
    <w:p w14:paraId="47F55C3F" w14:textId="3B415F4C" w:rsidR="00327826" w:rsidRDefault="00544B7F">
      <w:r>
        <w:t xml:space="preserve">Telecommunications </w:t>
      </w:r>
      <w:r w:rsidR="003D4D8A">
        <w:t>s</w:t>
      </w:r>
      <w:r>
        <w:t xml:space="preserve">ervice </w:t>
      </w:r>
      <w:r w:rsidR="003D4D8A">
        <w:t>t</w:t>
      </w:r>
      <w:r>
        <w:t>ax is imposed on the gross revenue received by the service provider in respect of sales of telecommunications services in a calend</w:t>
      </w:r>
      <w:r w:rsidR="00CF5926">
        <w:t>a</w:t>
      </w:r>
      <w:r>
        <w:t xml:space="preserve">r month </w:t>
      </w:r>
      <w:r w:rsidR="00AA3D58">
        <w:t>u</w:t>
      </w:r>
      <w:r>
        <w:t xml:space="preserve">nder the </w:t>
      </w:r>
      <w:r w:rsidRPr="0060375A">
        <w:rPr>
          <w:i/>
          <w:iCs/>
        </w:rPr>
        <w:t>Telecommunication</w:t>
      </w:r>
      <w:r w:rsidR="00AA3D58" w:rsidRPr="0060375A">
        <w:rPr>
          <w:i/>
          <w:iCs/>
        </w:rPr>
        <w:t>s Service Tax</w:t>
      </w:r>
      <w:r w:rsidRPr="0060375A">
        <w:rPr>
          <w:i/>
          <w:iCs/>
        </w:rPr>
        <w:t xml:space="preserve"> Act</w:t>
      </w:r>
      <w:r w:rsidR="0060375A" w:rsidRPr="0060375A">
        <w:rPr>
          <w:i/>
          <w:iCs/>
        </w:rPr>
        <w:t xml:space="preserve"> 2009</w:t>
      </w:r>
      <w:r>
        <w:t xml:space="preserve">. </w:t>
      </w:r>
    </w:p>
    <w:p w14:paraId="2AE0C4F7" w14:textId="77777777" w:rsidR="00327826" w:rsidRDefault="00544B7F">
      <w:pPr>
        <w:spacing w:after="0" w:line="259" w:lineRule="auto"/>
        <w:ind w:left="360" w:firstLine="0"/>
      </w:pPr>
      <w:r>
        <w:t xml:space="preserve"> </w:t>
      </w:r>
    </w:p>
    <w:p w14:paraId="0BF0F6AC" w14:textId="77777777" w:rsidR="00327826" w:rsidRDefault="00544B7F">
      <w:r>
        <w:t xml:space="preserve">Tax rates are as follows – </w:t>
      </w:r>
    </w:p>
    <w:p w14:paraId="3633EE24" w14:textId="77777777" w:rsidR="00327826" w:rsidRDefault="00544B7F">
      <w:pPr>
        <w:spacing w:after="0" w:line="259" w:lineRule="auto"/>
        <w:ind w:left="360" w:firstLine="0"/>
      </w:pPr>
      <w:r>
        <w:t xml:space="preserve"> </w:t>
      </w:r>
    </w:p>
    <w:p w14:paraId="0143A3C3" w14:textId="487C80C8" w:rsidR="00327826" w:rsidRDefault="00544B7F">
      <w:pPr>
        <w:numPr>
          <w:ilvl w:val="0"/>
          <w:numId w:val="9"/>
        </w:numPr>
        <w:ind w:hanging="360"/>
      </w:pPr>
      <w:r>
        <w:t>Telecommunication</w:t>
      </w:r>
      <w:r w:rsidR="0063632E">
        <w:t>s</w:t>
      </w:r>
      <w:r>
        <w:t xml:space="preserve"> </w:t>
      </w:r>
      <w:r w:rsidR="00B1271E">
        <w:t>s</w:t>
      </w:r>
      <w:r>
        <w:t xml:space="preserve">ervice </w:t>
      </w:r>
      <w:r w:rsidR="00B1271E">
        <w:t>t</w:t>
      </w:r>
      <w:r>
        <w:t xml:space="preserve">ax </w:t>
      </w:r>
      <w:r w:rsidR="00B1271E">
        <w:t>r</w:t>
      </w:r>
      <w:r>
        <w:t xml:space="preserve">ate was 10% up to 30 September 2016. </w:t>
      </w:r>
    </w:p>
    <w:p w14:paraId="1AEE2AA9" w14:textId="77777777" w:rsidR="00327826" w:rsidRDefault="00544B7F">
      <w:pPr>
        <w:numPr>
          <w:ilvl w:val="0"/>
          <w:numId w:val="9"/>
        </w:numPr>
        <w:ind w:hanging="360"/>
      </w:pPr>
      <w:r>
        <w:t xml:space="preserve">Rate increased to 15% from 1 October 2016.  </w:t>
      </w:r>
    </w:p>
    <w:p w14:paraId="3DE75F6D" w14:textId="77777777" w:rsidR="00327826" w:rsidRDefault="00544B7F">
      <w:pPr>
        <w:spacing w:after="0" w:line="259" w:lineRule="auto"/>
        <w:ind w:left="1080" w:firstLine="0"/>
      </w:pPr>
      <w:r>
        <w:t xml:space="preserve"> </w:t>
      </w:r>
    </w:p>
    <w:sectPr w:rsidR="00327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2" w:right="1441" w:bottom="1477" w:left="108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EB4E6" w14:textId="77777777" w:rsidR="0017650E" w:rsidRDefault="0017650E">
      <w:pPr>
        <w:spacing w:after="0" w:line="240" w:lineRule="auto"/>
      </w:pPr>
      <w:r>
        <w:separator/>
      </w:r>
    </w:p>
  </w:endnote>
  <w:endnote w:type="continuationSeparator" w:id="0">
    <w:p w14:paraId="5B7B6ED7" w14:textId="77777777" w:rsidR="0017650E" w:rsidRDefault="001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69DE" w14:textId="77777777" w:rsidR="00327826" w:rsidRDefault="00544B7F">
    <w:pPr>
      <w:spacing w:after="0" w:line="259" w:lineRule="auto"/>
      <w:ind w:left="362" w:firstLine="0"/>
      <w:jc w:val="center"/>
    </w:pPr>
    <w:r>
      <w:rPr>
        <w:rFonts w:ascii="Calibri" w:eastAsia="Calibri" w:hAnsi="Calibri" w:cs="Calibri"/>
        <w:sz w:val="22"/>
      </w:rPr>
      <w:t xml:space="preserve">1 </w:t>
    </w:r>
  </w:p>
  <w:p w14:paraId="6146655A" w14:textId="77777777" w:rsidR="00327826" w:rsidRDefault="00544B7F">
    <w:pPr>
      <w:spacing w:after="0" w:line="259" w:lineRule="auto"/>
      <w:ind w:left="36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1037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129FFA" w14:textId="696C21CA" w:rsidR="00A74CF5" w:rsidRDefault="00A74C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13A95" w14:textId="75AB4F6B" w:rsidR="00327826" w:rsidRDefault="00327826">
    <w:pPr>
      <w:spacing w:after="0" w:line="259" w:lineRule="auto"/>
      <w:ind w:lef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D34CE" w14:textId="77777777" w:rsidR="00327826" w:rsidRDefault="00544B7F">
    <w:pPr>
      <w:spacing w:after="0" w:line="259" w:lineRule="auto"/>
      <w:ind w:left="362" w:firstLine="0"/>
      <w:jc w:val="center"/>
    </w:pPr>
    <w:r>
      <w:rPr>
        <w:rFonts w:ascii="Calibri" w:eastAsia="Calibri" w:hAnsi="Calibri" w:cs="Calibri"/>
        <w:sz w:val="22"/>
      </w:rPr>
      <w:t xml:space="preserve">1 </w:t>
    </w:r>
  </w:p>
  <w:p w14:paraId="077FB841" w14:textId="77777777" w:rsidR="00327826" w:rsidRDefault="00544B7F">
    <w:pPr>
      <w:spacing w:after="0" w:line="259" w:lineRule="auto"/>
      <w:ind w:left="36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A5D18" w14:textId="77777777" w:rsidR="0017650E" w:rsidRDefault="0017650E">
      <w:pPr>
        <w:spacing w:after="0" w:line="240" w:lineRule="auto"/>
      </w:pPr>
      <w:r>
        <w:separator/>
      </w:r>
    </w:p>
  </w:footnote>
  <w:footnote w:type="continuationSeparator" w:id="0">
    <w:p w14:paraId="7D455B91" w14:textId="77777777" w:rsidR="0017650E" w:rsidRDefault="0017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273AA" w14:textId="77777777" w:rsidR="002C3738" w:rsidRDefault="002C3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FEDE4" w14:textId="77777777" w:rsidR="002C3738" w:rsidRDefault="002C3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C6DDC" w14:textId="77777777" w:rsidR="002C3738" w:rsidRDefault="002C3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0BF7"/>
    <w:multiLevelType w:val="hybridMultilevel"/>
    <w:tmpl w:val="5568DD20"/>
    <w:lvl w:ilvl="0" w:tplc="B8D098D0">
      <w:start w:val="1"/>
      <w:numFmt w:val="lowerLetter"/>
      <w:lvlText w:val="(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1A660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87CD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28D86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E62E9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8F56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B6EC3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84FE8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2C904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F51DC6"/>
    <w:multiLevelType w:val="hybridMultilevel"/>
    <w:tmpl w:val="C8E2FCA4"/>
    <w:lvl w:ilvl="0" w:tplc="E76A72DA">
      <w:start w:val="1"/>
      <w:numFmt w:val="bullet"/>
      <w:lvlText w:val="•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47932">
      <w:start w:val="1"/>
      <w:numFmt w:val="bullet"/>
      <w:lvlText w:val=""/>
      <w:lvlJc w:val="left"/>
      <w:pPr>
        <w:ind w:left="1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E330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6852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E10B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E6397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680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0CFF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64C7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BC746F"/>
    <w:multiLevelType w:val="hybridMultilevel"/>
    <w:tmpl w:val="3E3AB832"/>
    <w:lvl w:ilvl="0" w:tplc="E7EA97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87712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88FA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0CB0E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0717E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E970E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26CEE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ADA8C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8A0A0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CC19CE"/>
    <w:multiLevelType w:val="hybridMultilevel"/>
    <w:tmpl w:val="66E6FE48"/>
    <w:lvl w:ilvl="0" w:tplc="D02EEBCC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A3F3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7E7C7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4DB5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85CB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660F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213A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042C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8190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616D06"/>
    <w:multiLevelType w:val="hybridMultilevel"/>
    <w:tmpl w:val="9EEE9A80"/>
    <w:lvl w:ilvl="0" w:tplc="B5609E0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2109C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06260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BA2492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41202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A4EAC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821C0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0786E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24FDE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0A44A9"/>
    <w:multiLevelType w:val="hybridMultilevel"/>
    <w:tmpl w:val="9D08C5DE"/>
    <w:lvl w:ilvl="0" w:tplc="527E3CFE">
      <w:start w:val="1"/>
      <w:numFmt w:val="bullet"/>
      <w:lvlText w:val="•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EC214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85840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A024A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6EAB4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898FE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AD30A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C614C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CBC6C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E60539"/>
    <w:multiLevelType w:val="hybridMultilevel"/>
    <w:tmpl w:val="2D5A63A0"/>
    <w:lvl w:ilvl="0" w:tplc="6304ED2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671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60A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40F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EB3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C73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EC3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CAD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4D0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BC097A"/>
    <w:multiLevelType w:val="hybridMultilevel"/>
    <w:tmpl w:val="69B24A36"/>
    <w:lvl w:ilvl="0" w:tplc="7F6E0370">
      <w:start w:val="1"/>
      <w:numFmt w:val="lowerRoman"/>
      <w:lvlText w:val="(%1)"/>
      <w:lvlJc w:val="left"/>
      <w:pPr>
        <w:ind w:left="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2507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A1966">
      <w:start w:val="1"/>
      <w:numFmt w:val="bullet"/>
      <w:lvlText w:val="▪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40AB8">
      <w:start w:val="1"/>
      <w:numFmt w:val="bullet"/>
      <w:lvlText w:val="•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2CE550">
      <w:start w:val="1"/>
      <w:numFmt w:val="bullet"/>
      <w:lvlText w:val="o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4E670">
      <w:start w:val="1"/>
      <w:numFmt w:val="bullet"/>
      <w:lvlText w:val="▪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62618">
      <w:start w:val="1"/>
      <w:numFmt w:val="bullet"/>
      <w:lvlText w:val="•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E3FA0">
      <w:start w:val="1"/>
      <w:numFmt w:val="bullet"/>
      <w:lvlText w:val="o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BABAD2">
      <w:start w:val="1"/>
      <w:numFmt w:val="bullet"/>
      <w:lvlText w:val="▪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087448"/>
    <w:multiLevelType w:val="hybridMultilevel"/>
    <w:tmpl w:val="934C36AA"/>
    <w:lvl w:ilvl="0" w:tplc="801415F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E4972">
      <w:start w:val="1"/>
      <w:numFmt w:val="bullet"/>
      <w:lvlText w:val=""/>
      <w:lvlJc w:val="left"/>
      <w:pPr>
        <w:ind w:left="1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4F2B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A6C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8E93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C918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20DFA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844A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C005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ztDA2NbUwMjIwMLBU0lEKTi0uzszPAykwrAUAv4w9OCwAAAA="/>
  </w:docVars>
  <w:rsids>
    <w:rsidRoot w:val="00327826"/>
    <w:rsid w:val="00015283"/>
    <w:rsid w:val="00022B04"/>
    <w:rsid w:val="001313A8"/>
    <w:rsid w:val="0017650E"/>
    <w:rsid w:val="002A2B04"/>
    <w:rsid w:val="002C3738"/>
    <w:rsid w:val="002F4208"/>
    <w:rsid w:val="00316388"/>
    <w:rsid w:val="00327826"/>
    <w:rsid w:val="003D4D8A"/>
    <w:rsid w:val="004128FA"/>
    <w:rsid w:val="0046687E"/>
    <w:rsid w:val="00482CC9"/>
    <w:rsid w:val="00500FA2"/>
    <w:rsid w:val="00544B7F"/>
    <w:rsid w:val="0060375A"/>
    <w:rsid w:val="0063632E"/>
    <w:rsid w:val="00662C50"/>
    <w:rsid w:val="006B1E44"/>
    <w:rsid w:val="006D0CB4"/>
    <w:rsid w:val="00851D15"/>
    <w:rsid w:val="008A75F9"/>
    <w:rsid w:val="008F18B1"/>
    <w:rsid w:val="009A25E2"/>
    <w:rsid w:val="009C4987"/>
    <w:rsid w:val="00A01936"/>
    <w:rsid w:val="00A74CF5"/>
    <w:rsid w:val="00AA3D58"/>
    <w:rsid w:val="00B1271E"/>
    <w:rsid w:val="00B22558"/>
    <w:rsid w:val="00B83712"/>
    <w:rsid w:val="00B929A4"/>
    <w:rsid w:val="00CF5926"/>
    <w:rsid w:val="00D722E5"/>
    <w:rsid w:val="00E35D4F"/>
    <w:rsid w:val="00E9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BAEE"/>
  <w15:docId w15:val="{518897B7-56A1-43A3-A322-2B24F9A9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82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E5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3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3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74CF5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4CF5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Smith</dc:creator>
  <cp:keywords/>
  <cp:lastModifiedBy>Michael Murphy</cp:lastModifiedBy>
  <cp:revision>4</cp:revision>
  <cp:lastPrinted>2020-08-26T00:00:00Z</cp:lastPrinted>
  <dcterms:created xsi:type="dcterms:W3CDTF">2020-08-27T07:45:00Z</dcterms:created>
  <dcterms:modified xsi:type="dcterms:W3CDTF">2020-08-27T07:49:00Z</dcterms:modified>
</cp:coreProperties>
</file>